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  <w:r w:rsidRPr="0093612A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>
            <wp:extent cx="1095375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90" w:rsidRDefault="00052090" w:rsidP="00052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NACIONAL DE INVESTIGACIONES NUCLEARES</w:t>
      </w:r>
    </w:p>
    <w:p w:rsidR="00052090" w:rsidRDefault="00052090" w:rsidP="00052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INFORME DE SEGUIMIENTO DEL CALENDARIO INSTITUCIONAL DE ARCHIVOS </w:t>
      </w:r>
    </w:p>
    <w:p w:rsidR="00052090" w:rsidRDefault="00052090" w:rsidP="00052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ENERO DE 2013.</w:t>
      </w:r>
    </w:p>
    <w:p w:rsidR="00052090" w:rsidRPr="0093612A" w:rsidRDefault="00052090" w:rsidP="0005209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9"/>
        <w:gridCol w:w="630"/>
        <w:gridCol w:w="630"/>
        <w:gridCol w:w="638"/>
        <w:gridCol w:w="794"/>
        <w:gridCol w:w="1681"/>
        <w:gridCol w:w="2396"/>
      </w:tblGrid>
      <w:tr w:rsidR="00052090" w:rsidRPr="00002C87" w:rsidTr="00DF00A1">
        <w:tc>
          <w:tcPr>
            <w:tcW w:w="3584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02C8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COMITÉ DE INFORMACIÓN AREA COORDINADORA DE ARCHIVOS NORMATIVIDAD E INSTRUMENTOS TÉCNICOS.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MÁS DE 5 AÑOS</w:t>
            </w: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ACTIVIDAD PERMANENTE</w:t>
            </w:r>
          </w:p>
        </w:tc>
        <w:tc>
          <w:tcPr>
            <w:tcW w:w="439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052090" w:rsidRPr="00002C87" w:rsidTr="00DF00A1">
        <w:trPr>
          <w:trHeight w:val="447"/>
        </w:trPr>
        <w:tc>
          <w:tcPr>
            <w:tcW w:w="358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Programa de capacitación y asesoría archivística.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</w:tcPr>
          <w:p w:rsidR="00052090" w:rsidRPr="00002C87" w:rsidRDefault="00052090" w:rsidP="000C75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Durante el periodo 2005-201</w:t>
            </w:r>
            <w:r w:rsidR="000C75CC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ha dado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 capacitación y asesoría archivística a todo el personal del ININ involucrado con las tareas de archivos. </w:t>
            </w:r>
          </w:p>
        </w:tc>
      </w:tr>
      <w:tr w:rsidR="00052090" w:rsidRPr="00002C87" w:rsidTr="00DF00A1">
        <w:tc>
          <w:tcPr>
            <w:tcW w:w="358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Actualización del Cuadro de Clasificación de Archivos.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 xml:space="preserve">Se ha dado  actualización permanente al Cuadro de Clasificación de Archivos. </w:t>
            </w:r>
          </w:p>
        </w:tc>
      </w:tr>
      <w:tr w:rsidR="00052090" w:rsidRPr="00002C87" w:rsidTr="00DF00A1">
        <w:tc>
          <w:tcPr>
            <w:tcW w:w="358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Actualización del Catálogo de Disposición Documental.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</w:tcPr>
          <w:p w:rsidR="00052090" w:rsidRPr="00002C87" w:rsidRDefault="00052090" w:rsidP="000C75CC">
            <w:pPr>
              <w:jc w:val="both"/>
              <w:rPr>
                <w:rFonts w:ascii="Arial" w:hAnsi="Arial" w:cs="Arial"/>
              </w:rPr>
            </w:pPr>
            <w:r w:rsidRPr="00BE10B6">
              <w:rPr>
                <w:rFonts w:ascii="Arial" w:hAnsi="Arial" w:cs="Arial"/>
                <w:sz w:val="22"/>
                <w:szCs w:val="22"/>
              </w:rPr>
              <w:t>En febrero de 201</w:t>
            </w:r>
            <w:r w:rsidR="000C75CC">
              <w:rPr>
                <w:rFonts w:ascii="Arial" w:hAnsi="Arial" w:cs="Arial"/>
                <w:sz w:val="22"/>
                <w:szCs w:val="22"/>
              </w:rPr>
              <w:t>3</w:t>
            </w:r>
            <w:r w:rsidRPr="00002C87">
              <w:rPr>
                <w:rFonts w:ascii="Arial" w:hAnsi="Arial" w:cs="Arial"/>
                <w:sz w:val="22"/>
                <w:szCs w:val="22"/>
              </w:rPr>
              <w:t>, se concluyó la última actualización y fue enviada al Archivo General de la Nación para su validación.</w:t>
            </w:r>
          </w:p>
        </w:tc>
      </w:tr>
      <w:tr w:rsidR="00052090" w:rsidRPr="00002C87" w:rsidTr="00DF00A1">
        <w:tc>
          <w:tcPr>
            <w:tcW w:w="358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Actualización de Inventarios de Archivos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</w:tcPr>
          <w:p w:rsidR="00052090" w:rsidRPr="00002C87" w:rsidRDefault="00052090" w:rsidP="000C75CC">
            <w:pPr>
              <w:jc w:val="both"/>
              <w:rPr>
                <w:rFonts w:ascii="Arial" w:hAnsi="Arial" w:cs="Arial"/>
              </w:rPr>
            </w:pPr>
            <w:r w:rsidRPr="00BE10B6">
              <w:rPr>
                <w:rFonts w:ascii="Arial" w:hAnsi="Arial" w:cs="Arial"/>
                <w:sz w:val="22"/>
                <w:szCs w:val="22"/>
              </w:rPr>
              <w:t>En febrero de 201</w:t>
            </w:r>
            <w:r w:rsidR="000C75CC">
              <w:rPr>
                <w:rFonts w:ascii="Arial" w:hAnsi="Arial" w:cs="Arial"/>
                <w:sz w:val="22"/>
                <w:szCs w:val="22"/>
              </w:rPr>
              <w:t>3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, se concluyó la última actualización. </w:t>
            </w:r>
          </w:p>
        </w:tc>
      </w:tr>
      <w:tr w:rsidR="00052090" w:rsidRPr="00002C87" w:rsidTr="00DF00A1">
        <w:tc>
          <w:tcPr>
            <w:tcW w:w="358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 xml:space="preserve">Actualización de </w:t>
            </w:r>
            <w:smartTag w:uri="urn:schemas-microsoft-com:office:smarttags" w:element="PersonName">
              <w:smartTagPr>
                <w:attr w:name="ProductID" w:val="la Gu￭a Simple"/>
              </w:smartTagPr>
              <w:r w:rsidRPr="00002C87">
                <w:rPr>
                  <w:rFonts w:ascii="Arial" w:hAnsi="Arial" w:cs="Arial"/>
                  <w:sz w:val="22"/>
                  <w:szCs w:val="22"/>
                </w:rPr>
                <w:t>la Guía Simple</w:t>
              </w:r>
            </w:smartTag>
            <w:r w:rsidRPr="00002C87">
              <w:rPr>
                <w:rFonts w:ascii="Arial" w:hAnsi="Arial" w:cs="Arial"/>
                <w:sz w:val="22"/>
                <w:szCs w:val="22"/>
              </w:rPr>
              <w:t xml:space="preserve"> de Archivos.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94" w:type="dxa"/>
          </w:tcPr>
          <w:p w:rsidR="00052090" w:rsidRPr="00002C87" w:rsidRDefault="00052090" w:rsidP="000C75CC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febrero de 201</w:t>
            </w:r>
            <w:r w:rsidR="000C75CC">
              <w:rPr>
                <w:rFonts w:ascii="Arial" w:hAnsi="Arial" w:cs="Arial"/>
                <w:sz w:val="22"/>
                <w:szCs w:val="22"/>
              </w:rPr>
              <w:t>3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, se concluyó la última actualización. </w:t>
            </w:r>
          </w:p>
        </w:tc>
      </w:tr>
    </w:tbl>
    <w:p w:rsidR="00052090" w:rsidRDefault="00052090" w:rsidP="00052090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pStyle w:val="Ttulo"/>
        <w:rPr>
          <w:rFonts w:ascii="Arial" w:hAnsi="Arial" w:cs="Arial"/>
          <w:sz w:val="22"/>
          <w:szCs w:val="22"/>
        </w:rPr>
      </w:pPr>
    </w:p>
    <w:p w:rsidR="00052090" w:rsidRPr="00002C87" w:rsidRDefault="00052090" w:rsidP="00052090">
      <w:pPr>
        <w:pStyle w:val="Ttulo"/>
        <w:rPr>
          <w:rFonts w:ascii="Arial" w:hAnsi="Arial" w:cs="Arial"/>
          <w:sz w:val="22"/>
          <w:szCs w:val="22"/>
        </w:rPr>
      </w:pPr>
      <w:r w:rsidRPr="00002C87">
        <w:rPr>
          <w:rFonts w:ascii="Arial" w:hAnsi="Arial" w:cs="Arial"/>
          <w:sz w:val="22"/>
          <w:szCs w:val="22"/>
        </w:rPr>
        <w:lastRenderedPageBreak/>
        <w:t>SEGUIMIENTO DEL CALENDARIO INSTITUCIONAL DE ARCHIVOS DEL ININ</w:t>
      </w:r>
    </w:p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6"/>
        <w:gridCol w:w="630"/>
        <w:gridCol w:w="630"/>
        <w:gridCol w:w="654"/>
        <w:gridCol w:w="787"/>
        <w:gridCol w:w="1698"/>
        <w:gridCol w:w="2483"/>
      </w:tblGrid>
      <w:tr w:rsidR="00052090" w:rsidRPr="00002C87" w:rsidTr="00DF00A1">
        <w:tc>
          <w:tcPr>
            <w:tcW w:w="356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52090" w:rsidRPr="00002C87" w:rsidRDefault="00052090" w:rsidP="00DF00A1">
            <w:pPr>
              <w:pStyle w:val="Ttulo4"/>
              <w:rPr>
                <w:rFonts w:ascii="Arial" w:hAnsi="Arial" w:cs="Arial"/>
                <w:color w:val="0000FF"/>
              </w:rPr>
            </w:pPr>
            <w:r w:rsidRPr="00002C87">
              <w:rPr>
                <w:rFonts w:ascii="Arial" w:hAnsi="Arial" w:cs="Arial"/>
                <w:color w:val="0000FF"/>
                <w:sz w:val="22"/>
                <w:szCs w:val="22"/>
              </w:rPr>
              <w:t>ARCHIVO DE TRÁMITE</w:t>
            </w:r>
          </w:p>
          <w:p w:rsidR="00052090" w:rsidRPr="00002C87" w:rsidRDefault="00052090" w:rsidP="00DF00A1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3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MÁS DE 5 AÑOS</w:t>
            </w:r>
          </w:p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3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ACTIVIDAD PERMANENTE</w:t>
            </w:r>
          </w:p>
        </w:tc>
        <w:tc>
          <w:tcPr>
            <w:tcW w:w="431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052090" w:rsidRPr="00002C87" w:rsidTr="00DF00A1">
        <w:trPr>
          <w:trHeight w:val="447"/>
        </w:trPr>
        <w:tc>
          <w:tcPr>
            <w:tcW w:w="356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Registro de correspondencia de entrada y salida en formatos con elementos de descripción obligatorios.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3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8" w:type="dxa"/>
          </w:tcPr>
          <w:p w:rsidR="00052090" w:rsidRPr="00002C87" w:rsidRDefault="000C75CC" w:rsidP="00DF0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diciembre de 2012 se concluyó la adquisición de un sistema de Control de Gestión para ININ,  una herramienta electrónica para el registro de correspondencia. 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Actualmente se </w:t>
            </w:r>
            <w:r>
              <w:rPr>
                <w:rFonts w:ascii="Arial" w:hAnsi="Arial" w:cs="Arial"/>
                <w:sz w:val="22"/>
                <w:szCs w:val="22"/>
              </w:rPr>
              <w:t>están realizando pruebas para su pronta puesta en marcha en el ININ.</w:t>
            </w:r>
          </w:p>
        </w:tc>
      </w:tr>
      <w:tr w:rsidR="00052090" w:rsidRPr="00002C87" w:rsidTr="00DF00A1">
        <w:tc>
          <w:tcPr>
            <w:tcW w:w="356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Elaboración de Inventario Documental.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1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sistema SIRCE lo actualiza cada vez que ingresa un expediente.</w:t>
            </w:r>
          </w:p>
        </w:tc>
      </w:tr>
      <w:tr w:rsidR="00052090" w:rsidRPr="00002C87" w:rsidTr="00DF00A1">
        <w:tc>
          <w:tcPr>
            <w:tcW w:w="356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Establecimiento de recursos materiales específicos adecuados para la conservación de archivos (mobiliario, espacios y medidas de seguridad).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052090" w:rsidRPr="00DF75CA" w:rsidRDefault="00052090" w:rsidP="00DF00A1">
            <w:pPr>
              <w:pStyle w:val="Ttulo2"/>
            </w:pPr>
            <w:r w:rsidRPr="00DF75CA">
              <w:t>X</w:t>
            </w:r>
          </w:p>
        </w:tc>
        <w:tc>
          <w:tcPr>
            <w:tcW w:w="83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actualiza de acuerdo con las necesidades de las Unidades Administrativas</w:t>
            </w:r>
            <w:r w:rsidRPr="00002C8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año 2009 se realizó una remodelación al Archivo de Concentración del ININ.</w:t>
            </w:r>
          </w:p>
        </w:tc>
      </w:tr>
      <w:tr w:rsidR="00052090" w:rsidRPr="00002C87" w:rsidTr="00DF00A1">
        <w:tc>
          <w:tcPr>
            <w:tcW w:w="3564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Establecimiento de mecanismos que garanticen la integridad, autenticidad y disponibilidad de archivos en formato electrónico.</w:t>
            </w:r>
          </w:p>
        </w:tc>
        <w:tc>
          <w:tcPr>
            <w:tcW w:w="63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052090" w:rsidRPr="00002C87" w:rsidRDefault="00052090" w:rsidP="00DF00A1">
            <w:pPr>
              <w:pStyle w:val="Ttulo2"/>
            </w:pPr>
            <w:r w:rsidRPr="00002C87">
              <w:rPr>
                <w:szCs w:val="22"/>
              </w:rPr>
              <w:t>X</w:t>
            </w:r>
          </w:p>
        </w:tc>
        <w:tc>
          <w:tcPr>
            <w:tcW w:w="838" w:type="dxa"/>
          </w:tcPr>
          <w:p w:rsidR="00052090" w:rsidRPr="00002C87" w:rsidRDefault="00052090" w:rsidP="00DF00A1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8" w:type="dxa"/>
          </w:tcPr>
          <w:p w:rsidR="00052090" w:rsidRPr="00002C87" w:rsidRDefault="000C75CC" w:rsidP="00DF0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diciembre de 2012 se concluyó la adquisición de un sistema de Control de Gestión para ININ,  una herramienta electrónica para el registro de correspondencia. 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Actualmente se </w:t>
            </w:r>
            <w:r>
              <w:rPr>
                <w:rFonts w:ascii="Arial" w:hAnsi="Arial" w:cs="Arial"/>
                <w:sz w:val="22"/>
                <w:szCs w:val="22"/>
              </w:rPr>
              <w:t>están realizando pruebas para su pronta puesta en marcha en el ININ.</w:t>
            </w:r>
          </w:p>
        </w:tc>
      </w:tr>
    </w:tbl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p w:rsidR="00052090" w:rsidRPr="00002C87" w:rsidRDefault="00052090" w:rsidP="00052090">
      <w:pPr>
        <w:pStyle w:val="Ttulo"/>
        <w:rPr>
          <w:rFonts w:ascii="Arial" w:hAnsi="Arial" w:cs="Arial"/>
          <w:sz w:val="22"/>
          <w:szCs w:val="22"/>
        </w:rPr>
      </w:pPr>
      <w:r w:rsidRPr="00002C87">
        <w:rPr>
          <w:rFonts w:ascii="Arial" w:hAnsi="Arial" w:cs="Arial"/>
          <w:sz w:val="22"/>
          <w:szCs w:val="22"/>
        </w:rPr>
        <w:lastRenderedPageBreak/>
        <w:t>SEGUIMIENTO DEL CALENDARIO INSTITUCIONAL DE ARCHIVOS DEL ININ</w:t>
      </w:r>
    </w:p>
    <w:p w:rsidR="00052090" w:rsidRPr="00002C87" w:rsidRDefault="00052090" w:rsidP="000520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09"/>
        <w:gridCol w:w="709"/>
        <w:gridCol w:w="708"/>
        <w:gridCol w:w="851"/>
        <w:gridCol w:w="1417"/>
        <w:gridCol w:w="2552"/>
      </w:tblGrid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52090" w:rsidRPr="00002C87" w:rsidRDefault="00052090" w:rsidP="00DF00A1">
            <w:pPr>
              <w:pStyle w:val="Ttulo3"/>
              <w:rPr>
                <w:rFonts w:ascii="Arial" w:hAnsi="Arial" w:cs="Arial"/>
                <w:color w:val="0000FF"/>
              </w:rPr>
            </w:pPr>
            <w:r w:rsidRPr="00002C87">
              <w:rPr>
                <w:rFonts w:ascii="Arial" w:hAnsi="Arial" w:cs="Arial"/>
                <w:color w:val="0000FF"/>
                <w:sz w:val="22"/>
                <w:szCs w:val="22"/>
              </w:rPr>
              <w:t>ARCHIVO DE CONCENTRACIÓN</w:t>
            </w:r>
          </w:p>
          <w:p w:rsidR="00052090" w:rsidRPr="00002C87" w:rsidRDefault="00052090" w:rsidP="00DF00A1">
            <w:pPr>
              <w:rPr>
                <w:rFonts w:ascii="Arial" w:hAnsi="Arial" w:cs="Arial"/>
              </w:rPr>
            </w:pPr>
          </w:p>
          <w:p w:rsidR="00052090" w:rsidRPr="00002C87" w:rsidRDefault="00052090" w:rsidP="00DF00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MÁS DE 5 AÑOS</w:t>
            </w: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ACTIVIDAD PERMANENTE</w:t>
            </w:r>
          </w:p>
        </w:tc>
        <w:tc>
          <w:tcPr>
            <w:tcW w:w="255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  <w:b/>
                <w:bCs/>
              </w:rPr>
            </w:pPr>
            <w:r w:rsidRPr="00002C87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Procesos de valoración efectuados para promoción de bajas.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están realizando procesos de valoración por parte de las áreas para la promoción de bajas.</w:t>
            </w:r>
          </w:p>
        </w:tc>
      </w:tr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Rescate y transferencias documentales a Archivo Histórico.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2090" w:rsidRPr="00002C87" w:rsidRDefault="00052090" w:rsidP="00DF00A1">
            <w:pPr>
              <w:pStyle w:val="Ttulo2"/>
            </w:pPr>
          </w:p>
        </w:tc>
        <w:tc>
          <w:tcPr>
            <w:tcW w:w="85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NO APLICA</w:t>
            </w:r>
          </w:p>
        </w:tc>
      </w:tr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Instrumentación de mecanismos automatizados para el control de archivos de concentración.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2090" w:rsidRPr="00002C87" w:rsidRDefault="00052090" w:rsidP="00DF00A1">
            <w:pPr>
              <w:pStyle w:val="Ttulo2"/>
            </w:pPr>
            <w:r w:rsidRPr="00002C87">
              <w:rPr>
                <w:szCs w:val="22"/>
              </w:rPr>
              <w:t>X</w:t>
            </w:r>
          </w:p>
        </w:tc>
        <w:tc>
          <w:tcPr>
            <w:tcW w:w="85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052090" w:rsidRPr="00002C87" w:rsidRDefault="000C75CC" w:rsidP="000C75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diciembre de 2012 se concluyó la adquisición de un sistema de Control de Gestión para ININ,  una herramienta electrónica para el registro de correspondencia. </w:t>
            </w:r>
            <w:r w:rsidRPr="00002C87">
              <w:rPr>
                <w:rFonts w:ascii="Arial" w:hAnsi="Arial" w:cs="Arial"/>
                <w:sz w:val="22"/>
                <w:szCs w:val="22"/>
              </w:rPr>
              <w:t xml:space="preserve">Actualmente se </w:t>
            </w:r>
            <w:r>
              <w:rPr>
                <w:rFonts w:ascii="Arial" w:hAnsi="Arial" w:cs="Arial"/>
                <w:sz w:val="22"/>
                <w:szCs w:val="22"/>
              </w:rPr>
              <w:t>están realizando pruebas para su pronta puesta en marcha en el ININ.</w:t>
            </w:r>
          </w:p>
        </w:tc>
      </w:tr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Establecimiento de recursos materiales y espacios físicos adecuados para la conservación de archivos (mobiliario, espacios y medidas de seguridad).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052090" w:rsidRPr="000E5A9F" w:rsidRDefault="00052090" w:rsidP="00DF00A1">
            <w:pPr>
              <w:jc w:val="both"/>
              <w:rPr>
                <w:rFonts w:ascii="Arial" w:hAnsi="Arial" w:cs="Arial"/>
              </w:rPr>
            </w:pPr>
            <w:r w:rsidRPr="000E5A9F">
              <w:rPr>
                <w:rFonts w:ascii="Arial" w:hAnsi="Arial" w:cs="Arial"/>
                <w:sz w:val="22"/>
                <w:szCs w:val="22"/>
              </w:rPr>
              <w:t xml:space="preserve">Se realizó remodelación del archivo de concentración en </w:t>
            </w:r>
            <w:r>
              <w:rPr>
                <w:rFonts w:ascii="Arial" w:hAnsi="Arial" w:cs="Arial"/>
                <w:sz w:val="22"/>
                <w:szCs w:val="22"/>
              </w:rPr>
              <w:t>el año 2008</w:t>
            </w:r>
            <w:r w:rsidRPr="000E5A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2090" w:rsidRPr="00002C87" w:rsidTr="000C75CC">
        <w:tc>
          <w:tcPr>
            <w:tcW w:w="2480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  <w:r w:rsidRPr="00002C87">
              <w:rPr>
                <w:rFonts w:ascii="Arial" w:hAnsi="Arial" w:cs="Arial"/>
                <w:sz w:val="22"/>
                <w:szCs w:val="22"/>
              </w:rPr>
              <w:t>Establecimiento de mecanismos que garanticen la integridad, autenticidad y disponibilidad de archivos en formato electrónico.</w:t>
            </w: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2090" w:rsidRPr="00002C87" w:rsidRDefault="00052090" w:rsidP="00DF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2090" w:rsidRPr="00002C87" w:rsidRDefault="00052090" w:rsidP="00DF00A1">
            <w:pPr>
              <w:pStyle w:val="Ttulo2"/>
            </w:pPr>
          </w:p>
        </w:tc>
        <w:tc>
          <w:tcPr>
            <w:tcW w:w="851" w:type="dxa"/>
          </w:tcPr>
          <w:p w:rsidR="00052090" w:rsidRPr="002A4D0C" w:rsidRDefault="00052090" w:rsidP="00DF00A1">
            <w:pPr>
              <w:pStyle w:val="Ttulo3"/>
              <w:jc w:val="center"/>
              <w:rPr>
                <w:rFonts w:ascii="Arial" w:hAnsi="Arial" w:cs="Arial"/>
                <w:color w:val="auto"/>
              </w:rPr>
            </w:pPr>
            <w:r w:rsidRPr="002A4D0C"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1417" w:type="dxa"/>
          </w:tcPr>
          <w:p w:rsidR="00052090" w:rsidRPr="00002C87" w:rsidRDefault="00052090" w:rsidP="00DF0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052090" w:rsidRPr="00002C87" w:rsidRDefault="000C75CC" w:rsidP="000C75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diciembre de 2012 se concluyó la adquisición de un </w:t>
            </w:r>
            <w:r w:rsidR="00052090">
              <w:rPr>
                <w:rFonts w:ascii="Arial" w:hAnsi="Arial" w:cs="Arial"/>
                <w:sz w:val="22"/>
                <w:szCs w:val="22"/>
              </w:rPr>
              <w:t xml:space="preserve">sistema de Control de Gestión </w:t>
            </w:r>
            <w:r>
              <w:rPr>
                <w:rFonts w:ascii="Arial" w:hAnsi="Arial" w:cs="Arial"/>
                <w:sz w:val="22"/>
                <w:szCs w:val="22"/>
              </w:rPr>
              <w:t>para</w:t>
            </w:r>
            <w:r w:rsidR="00052090">
              <w:rPr>
                <w:rFonts w:ascii="Arial" w:hAnsi="Arial" w:cs="Arial"/>
                <w:sz w:val="22"/>
                <w:szCs w:val="22"/>
              </w:rPr>
              <w:t xml:space="preserve"> ININ,  una herramienta electrónica para el registro de correspondencia. </w:t>
            </w:r>
            <w:r w:rsidR="00052090" w:rsidRPr="00002C87">
              <w:rPr>
                <w:rFonts w:ascii="Arial" w:hAnsi="Arial" w:cs="Arial"/>
                <w:sz w:val="22"/>
                <w:szCs w:val="22"/>
              </w:rPr>
              <w:t xml:space="preserve">Actualmente se </w:t>
            </w:r>
            <w:r w:rsidR="00052090">
              <w:rPr>
                <w:rFonts w:ascii="Arial" w:hAnsi="Arial" w:cs="Arial"/>
                <w:sz w:val="22"/>
                <w:szCs w:val="22"/>
              </w:rPr>
              <w:t>están realizando pruebas para su pronta puesta en marcha en el ININ.</w:t>
            </w:r>
          </w:p>
        </w:tc>
      </w:tr>
    </w:tbl>
    <w:p w:rsidR="005F4883" w:rsidRDefault="005F4883"/>
    <w:sectPr w:rsidR="005F4883" w:rsidSect="005F4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090"/>
    <w:rsid w:val="00052090"/>
    <w:rsid w:val="000C75CC"/>
    <w:rsid w:val="005F1A95"/>
    <w:rsid w:val="005F4883"/>
    <w:rsid w:val="00605A8F"/>
    <w:rsid w:val="0095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52090"/>
    <w:pPr>
      <w:keepNext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link w:val="Ttulo2Car"/>
    <w:qFormat/>
    <w:rsid w:val="00052090"/>
    <w:pPr>
      <w:keepNext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20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2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090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52090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20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2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52090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05209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9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mcastillo</dc:creator>
  <cp:lastModifiedBy>mcastillo</cp:lastModifiedBy>
  <cp:revision>2</cp:revision>
  <dcterms:created xsi:type="dcterms:W3CDTF">2013-05-14T17:11:00Z</dcterms:created>
  <dcterms:modified xsi:type="dcterms:W3CDTF">2013-05-14T17:34:00Z</dcterms:modified>
</cp:coreProperties>
</file>